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E5CB3" w14:textId="77777777" w:rsidR="00C9057D" w:rsidRDefault="00C9057D">
      <w:pPr>
        <w:ind w:firstLine="0"/>
        <w:jc w:val="center"/>
        <w:rPr>
          <w:rFonts w:ascii="Times New Roman" w:hAnsi="Times New Roman"/>
          <w:b/>
          <w:sz w:val="40"/>
          <w:szCs w:val="28"/>
        </w:rPr>
      </w:pPr>
    </w:p>
    <w:p w14:paraId="73D7168A" w14:textId="77777777" w:rsidR="00C9057D" w:rsidRDefault="00C9057D">
      <w:pPr>
        <w:ind w:firstLine="0"/>
        <w:jc w:val="center"/>
        <w:rPr>
          <w:rFonts w:ascii="Times New Roman" w:hAnsi="Times New Roman"/>
          <w:b/>
          <w:sz w:val="40"/>
          <w:szCs w:val="28"/>
        </w:rPr>
      </w:pPr>
    </w:p>
    <w:p w14:paraId="1D88B255" w14:textId="77777777" w:rsidR="00C9057D" w:rsidRDefault="00C9057D">
      <w:pPr>
        <w:ind w:firstLine="0"/>
        <w:jc w:val="center"/>
        <w:rPr>
          <w:rFonts w:ascii="Times New Roman" w:hAnsi="Times New Roman"/>
          <w:b/>
          <w:sz w:val="40"/>
          <w:szCs w:val="28"/>
        </w:rPr>
      </w:pPr>
    </w:p>
    <w:p w14:paraId="202E26A5" w14:textId="77777777" w:rsidR="00C9057D" w:rsidRDefault="00C9057D">
      <w:pPr>
        <w:ind w:firstLine="0"/>
        <w:jc w:val="center"/>
        <w:rPr>
          <w:rFonts w:ascii="Times New Roman" w:hAnsi="Times New Roman"/>
          <w:b/>
          <w:sz w:val="40"/>
          <w:szCs w:val="28"/>
        </w:rPr>
      </w:pPr>
    </w:p>
    <w:p w14:paraId="10354D62" w14:textId="77777777" w:rsidR="004D5762" w:rsidRPr="00C9057D" w:rsidRDefault="00CF22F2">
      <w:pPr>
        <w:ind w:firstLine="0"/>
        <w:jc w:val="center"/>
        <w:rPr>
          <w:rFonts w:ascii="Times New Roman" w:hAnsi="Times New Roman"/>
          <w:b/>
          <w:sz w:val="40"/>
          <w:szCs w:val="28"/>
        </w:rPr>
      </w:pPr>
      <w:r w:rsidRPr="00C9057D">
        <w:rPr>
          <w:rFonts w:ascii="Times New Roman" w:hAnsi="Times New Roman"/>
          <w:b/>
          <w:sz w:val="40"/>
          <w:szCs w:val="28"/>
        </w:rPr>
        <w:t>МЕТОДИЧЕСКИЕ РЕКОМЕНДАЦИИ</w:t>
      </w:r>
    </w:p>
    <w:p w14:paraId="67E66A76" w14:textId="77777777" w:rsidR="004D5762" w:rsidRPr="00C9057D" w:rsidRDefault="00CF22F2">
      <w:pPr>
        <w:ind w:firstLine="0"/>
        <w:jc w:val="center"/>
        <w:rPr>
          <w:rFonts w:ascii="Times New Roman" w:hAnsi="Times New Roman"/>
          <w:b/>
          <w:sz w:val="40"/>
          <w:szCs w:val="28"/>
        </w:rPr>
      </w:pPr>
      <w:r w:rsidRPr="00C9057D">
        <w:rPr>
          <w:rFonts w:ascii="Times New Roman" w:hAnsi="Times New Roman"/>
          <w:b/>
          <w:sz w:val="40"/>
          <w:szCs w:val="28"/>
        </w:rPr>
        <w:t>ПО ВОПРОСАМ ПРЕДСТАВЛЕНИЯ СВЕДЕНИЙ</w:t>
      </w:r>
    </w:p>
    <w:p w14:paraId="0D8F241C" w14:textId="77777777" w:rsidR="004D5762" w:rsidRPr="00C9057D" w:rsidRDefault="00CF22F2">
      <w:pPr>
        <w:ind w:firstLine="0"/>
        <w:jc w:val="center"/>
        <w:rPr>
          <w:rFonts w:ascii="Times New Roman" w:hAnsi="Times New Roman"/>
          <w:b/>
          <w:sz w:val="40"/>
          <w:szCs w:val="28"/>
        </w:rPr>
      </w:pPr>
      <w:r w:rsidRPr="00C9057D">
        <w:rPr>
          <w:rFonts w:ascii="Times New Roman" w:hAnsi="Times New Roman"/>
          <w:b/>
          <w:sz w:val="40"/>
          <w:szCs w:val="28"/>
        </w:rPr>
        <w:t xml:space="preserve">О ДОХОДАХ, РАСХОДАХ, ОБ ИМУЩЕСТВЕ И ОБЯЗАТЕЛЬСТВАХ ИМУЩЕСТВЕННОГО ХАРАКТЕРА </w:t>
      </w:r>
    </w:p>
    <w:p w14:paraId="47690796" w14:textId="77777777" w:rsidR="004D5762" w:rsidRDefault="00CF22F2">
      <w:pPr>
        <w:ind w:firstLine="0"/>
        <w:jc w:val="center"/>
        <w:rPr>
          <w:rFonts w:ascii="Times New Roman" w:hAnsi="Times New Roman"/>
          <w:b/>
          <w:sz w:val="40"/>
          <w:szCs w:val="28"/>
        </w:rPr>
      </w:pPr>
      <w:r w:rsidRPr="00C9057D">
        <w:rPr>
          <w:rFonts w:ascii="Times New Roman" w:hAnsi="Times New Roman"/>
          <w:b/>
          <w:sz w:val="40"/>
          <w:szCs w:val="28"/>
        </w:rPr>
        <w:t xml:space="preserve">И ЗАПОЛНЕНИЯ СООТВЕТСТВУЮЩЕЙ ФОРМЫ СПРАВКИ </w:t>
      </w:r>
    </w:p>
    <w:p w14:paraId="258D5186" w14:textId="77777777" w:rsidR="00C9057D" w:rsidRDefault="00C9057D">
      <w:pPr>
        <w:ind w:firstLine="0"/>
        <w:jc w:val="center"/>
        <w:rPr>
          <w:rFonts w:ascii="Times New Roman" w:hAnsi="Times New Roman"/>
          <w:b/>
          <w:sz w:val="40"/>
          <w:szCs w:val="28"/>
        </w:rPr>
      </w:pPr>
    </w:p>
    <w:p w14:paraId="397D4364" w14:textId="77777777" w:rsidR="00C9057D" w:rsidRPr="00C9057D" w:rsidRDefault="00C9057D">
      <w:pPr>
        <w:ind w:firstLine="0"/>
        <w:jc w:val="center"/>
        <w:rPr>
          <w:rFonts w:ascii="Times New Roman" w:hAnsi="Times New Roman"/>
          <w:b/>
          <w:sz w:val="40"/>
          <w:szCs w:val="28"/>
        </w:rPr>
      </w:pPr>
    </w:p>
    <w:p w14:paraId="2354CEED" w14:textId="52E3EBCA" w:rsidR="004D5762" w:rsidRPr="00C9057D" w:rsidRDefault="00CF22F2">
      <w:pPr>
        <w:ind w:firstLine="0"/>
        <w:jc w:val="center"/>
        <w:rPr>
          <w:rFonts w:ascii="Times New Roman" w:hAnsi="Times New Roman"/>
          <w:sz w:val="40"/>
          <w:szCs w:val="28"/>
        </w:rPr>
      </w:pPr>
      <w:r w:rsidRPr="00C9057D">
        <w:rPr>
          <w:rFonts w:ascii="Times New Roman" w:hAnsi="Times New Roman"/>
          <w:sz w:val="40"/>
          <w:szCs w:val="28"/>
        </w:rPr>
        <w:t xml:space="preserve">в </w:t>
      </w:r>
      <w:r w:rsidR="00792B26" w:rsidRPr="00C9057D">
        <w:rPr>
          <w:rFonts w:ascii="Times New Roman" w:hAnsi="Times New Roman"/>
          <w:sz w:val="40"/>
          <w:szCs w:val="28"/>
        </w:rPr>
        <w:t>202</w:t>
      </w:r>
      <w:r w:rsidR="006050B9" w:rsidRPr="00C9057D">
        <w:rPr>
          <w:rFonts w:ascii="Times New Roman" w:hAnsi="Times New Roman"/>
          <w:sz w:val="40"/>
          <w:szCs w:val="28"/>
        </w:rPr>
        <w:t>5</w:t>
      </w:r>
      <w:r w:rsidRPr="00C9057D">
        <w:rPr>
          <w:rFonts w:ascii="Times New Roman" w:hAnsi="Times New Roman"/>
          <w:sz w:val="40"/>
          <w:szCs w:val="28"/>
        </w:rPr>
        <w:t xml:space="preserve"> году (за отчетный </w:t>
      </w:r>
      <w:r w:rsidR="006050B9" w:rsidRPr="00C9057D">
        <w:rPr>
          <w:rFonts w:ascii="Times New Roman" w:hAnsi="Times New Roman"/>
          <w:sz w:val="40"/>
          <w:szCs w:val="28"/>
        </w:rPr>
        <w:t xml:space="preserve">2024 </w:t>
      </w:r>
      <w:r w:rsidRPr="00C9057D">
        <w:rPr>
          <w:rFonts w:ascii="Times New Roman" w:hAnsi="Times New Roman"/>
          <w:sz w:val="40"/>
          <w:szCs w:val="28"/>
        </w:rPr>
        <w:t>год)</w:t>
      </w:r>
    </w:p>
    <w:p w14:paraId="07930DE0" w14:textId="77777777" w:rsidR="004D5762" w:rsidRDefault="004D5762">
      <w:pPr>
        <w:ind w:firstLine="0"/>
        <w:jc w:val="center"/>
        <w:rPr>
          <w:rFonts w:ascii="Times New Roman" w:hAnsi="Times New Roman"/>
          <w:sz w:val="28"/>
          <w:szCs w:val="28"/>
        </w:rPr>
      </w:pPr>
    </w:p>
    <w:p w14:paraId="0FCDFEFA" w14:textId="77777777" w:rsidR="00C9057D" w:rsidRDefault="00C9057D">
      <w:pPr>
        <w:ind w:firstLine="0"/>
        <w:jc w:val="center"/>
        <w:rPr>
          <w:rFonts w:ascii="Times New Roman" w:hAnsi="Times New Roman"/>
          <w:sz w:val="28"/>
          <w:szCs w:val="28"/>
        </w:rPr>
      </w:pPr>
    </w:p>
    <w:p w14:paraId="004F04CB" w14:textId="77777777" w:rsidR="00C9057D" w:rsidRDefault="00C9057D">
      <w:pPr>
        <w:ind w:firstLine="0"/>
        <w:jc w:val="center"/>
        <w:rPr>
          <w:rFonts w:ascii="Times New Roman" w:hAnsi="Times New Roman"/>
          <w:sz w:val="28"/>
          <w:szCs w:val="28"/>
        </w:rPr>
      </w:pPr>
    </w:p>
    <w:p w14:paraId="72779DA2" w14:textId="77777777" w:rsidR="00C9057D" w:rsidRDefault="00C9057D">
      <w:pPr>
        <w:ind w:firstLine="0"/>
        <w:jc w:val="center"/>
        <w:rPr>
          <w:rFonts w:ascii="Times New Roman" w:hAnsi="Times New Roman"/>
          <w:sz w:val="28"/>
          <w:szCs w:val="28"/>
        </w:rPr>
      </w:pPr>
    </w:p>
    <w:p w14:paraId="71E75167" w14:textId="77777777" w:rsidR="00C9057D" w:rsidRDefault="00C9057D">
      <w:pPr>
        <w:ind w:firstLine="0"/>
        <w:jc w:val="center"/>
        <w:rPr>
          <w:rFonts w:ascii="Times New Roman" w:hAnsi="Times New Roman"/>
          <w:sz w:val="28"/>
          <w:szCs w:val="28"/>
        </w:rPr>
      </w:pPr>
    </w:p>
    <w:p w14:paraId="522AC6E4" w14:textId="77777777" w:rsidR="00C9057D" w:rsidRDefault="00C9057D">
      <w:pPr>
        <w:ind w:firstLine="0"/>
        <w:jc w:val="center"/>
        <w:rPr>
          <w:rFonts w:ascii="Times New Roman" w:hAnsi="Times New Roman"/>
          <w:sz w:val="28"/>
          <w:szCs w:val="28"/>
        </w:rPr>
      </w:pPr>
    </w:p>
    <w:p w14:paraId="4E1CF703" w14:textId="77777777" w:rsidR="00C9057D" w:rsidRDefault="00C9057D">
      <w:pPr>
        <w:ind w:firstLine="0"/>
        <w:jc w:val="center"/>
        <w:rPr>
          <w:rFonts w:ascii="Times New Roman" w:hAnsi="Times New Roman"/>
          <w:sz w:val="28"/>
          <w:szCs w:val="28"/>
        </w:rPr>
      </w:pPr>
    </w:p>
    <w:p w14:paraId="483D144B" w14:textId="77777777" w:rsidR="00C9057D" w:rsidRDefault="00C9057D">
      <w:pPr>
        <w:ind w:firstLine="0"/>
        <w:jc w:val="center"/>
        <w:rPr>
          <w:rFonts w:ascii="Times New Roman" w:hAnsi="Times New Roman"/>
          <w:sz w:val="28"/>
          <w:szCs w:val="28"/>
        </w:rPr>
      </w:pPr>
    </w:p>
    <w:p w14:paraId="6A4051CB" w14:textId="77777777" w:rsidR="00C9057D" w:rsidRDefault="00C9057D">
      <w:pPr>
        <w:ind w:firstLine="0"/>
        <w:jc w:val="center"/>
        <w:rPr>
          <w:rFonts w:ascii="Times New Roman" w:hAnsi="Times New Roman"/>
          <w:sz w:val="28"/>
          <w:szCs w:val="28"/>
        </w:rPr>
      </w:pPr>
    </w:p>
    <w:p w14:paraId="408EBCB3" w14:textId="77777777" w:rsidR="00C9057D" w:rsidRDefault="00C9057D">
      <w:pPr>
        <w:ind w:firstLine="0"/>
        <w:jc w:val="center"/>
        <w:rPr>
          <w:rFonts w:ascii="Times New Roman" w:hAnsi="Times New Roman"/>
          <w:sz w:val="28"/>
          <w:szCs w:val="28"/>
        </w:rPr>
      </w:pPr>
    </w:p>
    <w:p w14:paraId="3EEA04B5" w14:textId="77777777" w:rsidR="00C9057D" w:rsidRDefault="00C9057D">
      <w:pPr>
        <w:ind w:firstLine="0"/>
        <w:jc w:val="center"/>
        <w:rPr>
          <w:rFonts w:ascii="Times New Roman" w:hAnsi="Times New Roman"/>
          <w:sz w:val="28"/>
          <w:szCs w:val="28"/>
        </w:rPr>
      </w:pPr>
    </w:p>
    <w:p w14:paraId="32C359E3" w14:textId="77777777" w:rsidR="00C9057D" w:rsidRDefault="00C9057D">
      <w:pPr>
        <w:ind w:firstLine="0"/>
        <w:jc w:val="center"/>
        <w:rPr>
          <w:rFonts w:ascii="Times New Roman" w:hAnsi="Times New Roman"/>
          <w:sz w:val="28"/>
          <w:szCs w:val="28"/>
        </w:rPr>
      </w:pPr>
    </w:p>
    <w:p w14:paraId="0B5C33E8" w14:textId="77777777" w:rsidR="00C9057D" w:rsidRDefault="00C9057D">
      <w:pPr>
        <w:ind w:firstLine="0"/>
        <w:jc w:val="center"/>
        <w:rPr>
          <w:rFonts w:ascii="Times New Roman" w:hAnsi="Times New Roman"/>
          <w:sz w:val="28"/>
          <w:szCs w:val="28"/>
        </w:rPr>
      </w:pPr>
    </w:p>
    <w:p w14:paraId="6B4007F9" w14:textId="77777777" w:rsidR="00C9057D" w:rsidRDefault="00C9057D">
      <w:pPr>
        <w:ind w:firstLine="0"/>
        <w:jc w:val="center"/>
        <w:rPr>
          <w:rFonts w:ascii="Times New Roman" w:hAnsi="Times New Roman"/>
          <w:sz w:val="28"/>
          <w:szCs w:val="28"/>
        </w:rPr>
      </w:pPr>
    </w:p>
    <w:p w14:paraId="127EBA3F" w14:textId="77777777" w:rsidR="00C9057D" w:rsidRDefault="00C9057D">
      <w:pPr>
        <w:ind w:firstLine="0"/>
        <w:jc w:val="center"/>
        <w:rPr>
          <w:rFonts w:ascii="Times New Roman" w:hAnsi="Times New Roman"/>
          <w:sz w:val="28"/>
          <w:szCs w:val="28"/>
        </w:rPr>
      </w:pPr>
    </w:p>
    <w:p w14:paraId="22BBADD3" w14:textId="77777777" w:rsidR="00C9057D" w:rsidRDefault="00C9057D">
      <w:pPr>
        <w:ind w:firstLine="0"/>
        <w:jc w:val="center"/>
        <w:rPr>
          <w:rFonts w:ascii="Times New Roman" w:hAnsi="Times New Roman"/>
          <w:sz w:val="28"/>
          <w:szCs w:val="28"/>
        </w:rPr>
      </w:pPr>
    </w:p>
    <w:p w14:paraId="15082E34" w14:textId="77777777" w:rsidR="00C9057D" w:rsidRDefault="00C9057D">
      <w:pPr>
        <w:ind w:firstLine="0"/>
        <w:jc w:val="center"/>
        <w:rPr>
          <w:rFonts w:ascii="Times New Roman" w:hAnsi="Times New Roman"/>
          <w:sz w:val="28"/>
          <w:szCs w:val="28"/>
        </w:rPr>
      </w:pPr>
    </w:p>
    <w:p w14:paraId="75E13D5B" w14:textId="77777777" w:rsidR="00C9057D" w:rsidRDefault="00C9057D">
      <w:pPr>
        <w:ind w:firstLine="0"/>
        <w:jc w:val="center"/>
        <w:rPr>
          <w:rFonts w:ascii="Times New Roman" w:hAnsi="Times New Roman"/>
          <w:sz w:val="28"/>
          <w:szCs w:val="28"/>
        </w:rPr>
      </w:pPr>
    </w:p>
    <w:p w14:paraId="5CFBBC4D" w14:textId="77777777" w:rsidR="00C9057D" w:rsidRDefault="00C9057D">
      <w:pPr>
        <w:ind w:firstLine="0"/>
        <w:jc w:val="center"/>
        <w:rPr>
          <w:rFonts w:ascii="Times New Roman" w:hAnsi="Times New Roman"/>
          <w:sz w:val="28"/>
          <w:szCs w:val="28"/>
        </w:rPr>
      </w:pPr>
    </w:p>
    <w:p w14:paraId="4073B3B5" w14:textId="77777777" w:rsidR="00C9057D" w:rsidRDefault="00C9057D">
      <w:pPr>
        <w:ind w:firstLine="0"/>
        <w:jc w:val="center"/>
        <w:rPr>
          <w:rFonts w:ascii="Times New Roman" w:hAnsi="Times New Roman"/>
          <w:sz w:val="28"/>
          <w:szCs w:val="28"/>
        </w:rPr>
      </w:pPr>
    </w:p>
    <w:p w14:paraId="31C20983" w14:textId="77777777" w:rsidR="00C9057D" w:rsidRDefault="00C9057D">
      <w:pPr>
        <w:ind w:firstLine="0"/>
        <w:jc w:val="center"/>
        <w:rPr>
          <w:rFonts w:ascii="Times New Roman" w:hAnsi="Times New Roman"/>
          <w:sz w:val="28"/>
          <w:szCs w:val="28"/>
        </w:rPr>
      </w:pPr>
    </w:p>
    <w:p w14:paraId="7BF3A97F" w14:textId="77777777" w:rsidR="00C9057D" w:rsidRDefault="00C9057D">
      <w:pPr>
        <w:ind w:firstLine="0"/>
        <w:jc w:val="center"/>
        <w:rPr>
          <w:rFonts w:ascii="Times New Roman" w:hAnsi="Times New Roman"/>
          <w:sz w:val="28"/>
          <w:szCs w:val="28"/>
        </w:rPr>
      </w:pPr>
    </w:p>
    <w:p w14:paraId="4DBA7535" w14:textId="77777777" w:rsidR="00C9057D" w:rsidRDefault="00C9057D">
      <w:pPr>
        <w:ind w:firstLine="0"/>
        <w:jc w:val="center"/>
        <w:rPr>
          <w:rFonts w:ascii="Times New Roman" w:hAnsi="Times New Roman"/>
          <w:sz w:val="28"/>
          <w:szCs w:val="28"/>
        </w:rPr>
      </w:pPr>
    </w:p>
    <w:p w14:paraId="052F46B4" w14:textId="77777777" w:rsidR="00C9057D" w:rsidRDefault="00C9057D">
      <w:pPr>
        <w:ind w:firstLine="0"/>
        <w:jc w:val="center"/>
        <w:rPr>
          <w:rFonts w:ascii="Times New Roman" w:hAnsi="Times New Roman"/>
          <w:sz w:val="28"/>
          <w:szCs w:val="28"/>
        </w:rPr>
      </w:pPr>
    </w:p>
    <w:p w14:paraId="01B80FB5" w14:textId="77777777" w:rsidR="00C9057D" w:rsidRDefault="00C9057D">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xml:space="preserve">,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w:t>
      </w:r>
      <w:r w:rsidRPr="002937E4">
        <w:rPr>
          <w:rFonts w:ascii="Times New Roman" w:hAnsi="Times New Roman"/>
          <w:sz w:val="28"/>
          <w:szCs w:val="28"/>
        </w:rPr>
        <w:lastRenderedPageBreak/>
        <w:t>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xml:space="preserve">, - </w:t>
      </w:r>
      <w:r w:rsidRPr="002937E4">
        <w:rPr>
          <w:rFonts w:ascii="Times New Roman" w:hAnsi="Times New Roman"/>
          <w:sz w:val="28"/>
          <w:szCs w:val="28"/>
        </w:rPr>
        <w:lastRenderedPageBreak/>
        <w:t>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 xml:space="preserve">на территориях Донецкой Народной Республики, Луганской Народной Республики, Запорожской области, Херсонской </w:t>
      </w:r>
      <w:r w:rsidR="00CF22F2" w:rsidRPr="003F6CEA">
        <w:rPr>
          <w:rFonts w:ascii="Times New Roman" w:hAnsi="Times New Roman"/>
          <w:sz w:val="28"/>
          <w:szCs w:val="28"/>
        </w:rPr>
        <w:lastRenderedPageBreak/>
        <w:t>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w:t>
      </w:r>
      <w:r w:rsidRPr="00D01274">
        <w:rPr>
          <w:rFonts w:ascii="Times New Roman" w:hAnsi="Times New Roman"/>
          <w:sz w:val="28"/>
          <w:szCs w:val="28"/>
        </w:rPr>
        <w:lastRenderedPageBreak/>
        <w:t>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в случае, если они принимали участие в специальной военной 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lastRenderedPageBreak/>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lastRenderedPageBreak/>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w:t>
      </w:r>
      <w:r w:rsidRPr="00191144">
        <w:rPr>
          <w:rFonts w:ascii="Times New Roman" w:hAnsi="Times New Roman"/>
          <w:sz w:val="28"/>
          <w:szCs w:val="28"/>
        </w:rPr>
        <w:lastRenderedPageBreak/>
        <w:t>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w:t>
      </w:r>
      <w:r w:rsidRPr="002937E4">
        <w:rPr>
          <w:rFonts w:ascii="Times New Roman" w:hAnsi="Times New Roman"/>
          <w:sz w:val="28"/>
          <w:szCs w:val="28"/>
        </w:rPr>
        <w:lastRenderedPageBreak/>
        <w:t xml:space="preserve">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lastRenderedPageBreak/>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w:t>
            </w:r>
            <w:r w:rsidRPr="002937E4">
              <w:rPr>
                <w:rFonts w:ascii="Times New Roman" w:hAnsi="Times New Roman"/>
                <w:sz w:val="28"/>
                <w:szCs w:val="28"/>
              </w:rPr>
              <w:lastRenderedPageBreak/>
              <w:t xml:space="preserve">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lastRenderedPageBreak/>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lastRenderedPageBreak/>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lastRenderedPageBreak/>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w:t>
      </w:r>
      <w:r w:rsidRPr="002937E4">
        <w:rPr>
          <w:rFonts w:ascii="Times New Roman" w:hAnsi="Times New Roman"/>
          <w:sz w:val="28"/>
          <w:szCs w:val="28"/>
        </w:rPr>
        <w:lastRenderedPageBreak/>
        <w:t>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w:t>
            </w:r>
            <w:r w:rsidRPr="002937E4">
              <w:rPr>
                <w:rFonts w:ascii="Times New Roman" w:hAnsi="Times New Roman"/>
                <w:sz w:val="28"/>
                <w:szCs w:val="28"/>
              </w:rPr>
              <w:lastRenderedPageBreak/>
              <w:t>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w:t>
            </w:r>
            <w:r w:rsidRPr="002937E4">
              <w:rPr>
                <w:rFonts w:ascii="Times New Roman" w:hAnsi="Times New Roman"/>
                <w:sz w:val="28"/>
                <w:szCs w:val="28"/>
              </w:rPr>
              <w:lastRenderedPageBreak/>
              <w:t>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lastRenderedPageBreak/>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w:t>
            </w:r>
            <w:r w:rsidRPr="002937E4">
              <w:rPr>
                <w:rFonts w:ascii="Times New Roman" w:hAnsi="Times New Roman"/>
                <w:sz w:val="28"/>
                <w:szCs w:val="28"/>
              </w:rPr>
              <w:lastRenderedPageBreak/>
              <w:t>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w:t>
      </w:r>
      <w:r w:rsidR="00806972" w:rsidRPr="004B5F02">
        <w:rPr>
          <w:rFonts w:ascii="Times New Roman" w:hAnsi="Times New Roman"/>
          <w:sz w:val="28"/>
          <w:szCs w:val="28"/>
        </w:rPr>
        <w:lastRenderedPageBreak/>
        <w:t>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 xml:space="preserve">Раздел </w:t>
            </w:r>
            <w:r>
              <w:rPr>
                <w:rFonts w:ascii="Times New Roman" w:hAnsi="Times New Roman"/>
                <w:b/>
                <w:sz w:val="28"/>
                <w:szCs w:val="28"/>
              </w:rPr>
              <w:lastRenderedPageBreak/>
              <w:t>(подраздел)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lastRenderedPageBreak/>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lastRenderedPageBreak/>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w:t>
        </w:r>
        <w:bookmarkStart w:id="1" w:name="_GoBack"/>
        <w:bookmarkEnd w:id="1"/>
        <w:r w:rsidRPr="002937E4">
          <w:rPr>
            <w:rStyle w:val="aff5"/>
            <w:rFonts w:ascii="Times New Roman" w:hAnsi="Times New Roman"/>
            <w:sz w:val="28"/>
            <w:szCs w:val="28"/>
          </w:rPr>
          <w: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lastRenderedPageBreak/>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w:t>
      </w:r>
      <w:r w:rsidRPr="003F6CEA">
        <w:rPr>
          <w:rFonts w:ascii="Times New Roman" w:hAnsi="Times New Roman" w:cs="Times New Roman"/>
          <w:sz w:val="28"/>
          <w:szCs w:val="28"/>
        </w:rPr>
        <w:lastRenderedPageBreak/>
        <w:t>(работник),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lastRenderedPageBreak/>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 xml:space="preserve">в том числе с </w:t>
      </w:r>
      <w:r w:rsidRPr="006848CC">
        <w:rPr>
          <w:rFonts w:ascii="Times New Roman" w:hAnsi="Times New Roman"/>
          <w:sz w:val="28"/>
          <w:szCs w:val="28"/>
        </w:rPr>
        <w:lastRenderedPageBreak/>
        <w:t>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lastRenderedPageBreak/>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 xml:space="preserve">тся в величине суммы финансового результата, </w:t>
      </w:r>
      <w:r w:rsidR="00CF22F2" w:rsidRPr="006848CC">
        <w:rPr>
          <w:rFonts w:ascii="Times New Roman" w:hAnsi="Times New Roman"/>
          <w:sz w:val="28"/>
          <w:szCs w:val="28"/>
        </w:rPr>
        <w:lastRenderedPageBreak/>
        <w:t>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lastRenderedPageBreak/>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lastRenderedPageBreak/>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lastRenderedPageBreak/>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w:t>
      </w:r>
      <w:r w:rsidRPr="003F6CEA">
        <w:rPr>
          <w:rFonts w:ascii="Times New Roman" w:eastAsia="Times New Roman" w:hAnsi="Times New Roman"/>
          <w:sz w:val="28"/>
          <w:szCs w:val="28"/>
          <w:lang w:eastAsia="ru-RU"/>
        </w:rPr>
        <w:lastRenderedPageBreak/>
        <w:t>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w:t>
      </w:r>
      <w:r w:rsidRPr="008B315A">
        <w:rPr>
          <w:rFonts w:ascii="Times New Roman" w:hAnsi="Times New Roman"/>
          <w:sz w:val="28"/>
          <w:szCs w:val="28"/>
        </w:rPr>
        <w:lastRenderedPageBreak/>
        <w:t>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lastRenderedPageBreak/>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lastRenderedPageBreak/>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w:t>
      </w:r>
      <w:r w:rsidRPr="006848CC">
        <w:rPr>
          <w:rFonts w:ascii="Times New Roman" w:hAnsi="Times New Roman"/>
          <w:sz w:val="28"/>
          <w:szCs w:val="28"/>
        </w:rPr>
        <w:lastRenderedPageBreak/>
        <w:t>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w:t>
      </w:r>
      <w:r w:rsidRPr="006848CC">
        <w:rPr>
          <w:rFonts w:ascii="Times New Roman" w:hAnsi="Times New Roman"/>
          <w:sz w:val="28"/>
          <w:szCs w:val="28"/>
        </w:rPr>
        <w:lastRenderedPageBreak/>
        <w:t>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w:t>
      </w:r>
      <w:r w:rsidRPr="006848CC">
        <w:rPr>
          <w:rFonts w:ascii="Times New Roman" w:hAnsi="Times New Roman"/>
          <w:sz w:val="28"/>
          <w:szCs w:val="28"/>
        </w:rPr>
        <w:lastRenderedPageBreak/>
        <w:t>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w:t>
      </w:r>
      <w:r w:rsidRPr="006848CC">
        <w:rPr>
          <w:rStyle w:val="af5"/>
          <w:rFonts w:ascii="Times New Roman" w:hAnsi="Times New Roman" w:cs="Times New Roman"/>
          <w:color w:val="000000"/>
          <w:sz w:val="28"/>
          <w:szCs w:val="28"/>
        </w:rPr>
        <w:lastRenderedPageBreak/>
        <w:t>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w:t>
      </w:r>
      <w:r w:rsidRPr="006848CC">
        <w:rPr>
          <w:rStyle w:val="af5"/>
          <w:rFonts w:ascii="Times New Roman" w:hAnsi="Times New Roman" w:cs="Times New Roman"/>
          <w:sz w:val="28"/>
          <w:szCs w:val="28"/>
        </w:rPr>
        <w:lastRenderedPageBreak/>
        <w:t xml:space="preserve">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w:t>
      </w:r>
      <w:r w:rsidRPr="00485068">
        <w:rPr>
          <w:rFonts w:ascii="Times New Roman" w:hAnsi="Times New Roman"/>
          <w:sz w:val="28"/>
          <w:szCs w:val="28"/>
        </w:rPr>
        <w:lastRenderedPageBreak/>
        <w:t>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lastRenderedPageBreak/>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w:t>
      </w:r>
      <w:r w:rsidRPr="006848CC">
        <w:rPr>
          <w:rFonts w:ascii="Times New Roman" w:hAnsi="Times New Roman"/>
          <w:sz w:val="28"/>
          <w:szCs w:val="28"/>
        </w:rPr>
        <w:lastRenderedPageBreak/>
        <w:t>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w:t>
      </w:r>
      <w:r w:rsidRPr="006848CC">
        <w:rPr>
          <w:rStyle w:val="af5"/>
          <w:rFonts w:ascii="Times New Roman" w:hAnsi="Times New Roman" w:cs="Times New Roman"/>
          <w:sz w:val="28"/>
          <w:szCs w:val="28"/>
          <w:shd w:val="clear" w:color="auto" w:fill="auto"/>
        </w:rPr>
        <w:lastRenderedPageBreak/>
        <w:t>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lastRenderedPageBreak/>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w:t>
      </w:r>
      <w:r w:rsidRPr="006848CC">
        <w:rPr>
          <w:rStyle w:val="af5"/>
          <w:rFonts w:ascii="Times New Roman" w:hAnsi="Times New Roman" w:cs="Times New Roman"/>
          <w:sz w:val="28"/>
          <w:szCs w:val="28"/>
          <w:shd w:val="clear" w:color="auto" w:fill="auto"/>
        </w:rPr>
        <w:lastRenderedPageBreak/>
        <w:t>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lastRenderedPageBreak/>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lastRenderedPageBreak/>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w:t>
      </w:r>
      <w:r w:rsidRPr="00C84829">
        <w:rPr>
          <w:rFonts w:ascii="Times New Roman" w:hAnsi="Times New Roman"/>
          <w:sz w:val="28"/>
        </w:rPr>
        <w:lastRenderedPageBreak/>
        <w:t xml:space="preserve">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w:t>
      </w:r>
      <w:r w:rsidRPr="00F13E5E">
        <w:rPr>
          <w:rFonts w:ascii="Times New Roman" w:hAnsi="Times New Roman"/>
          <w:sz w:val="28"/>
          <w:szCs w:val="28"/>
        </w:rPr>
        <w:lastRenderedPageBreak/>
        <w:t xml:space="preserve">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lastRenderedPageBreak/>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lastRenderedPageBreak/>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lastRenderedPageBreak/>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w:t>
      </w:r>
      <w:r w:rsidRPr="006848CC">
        <w:rPr>
          <w:rFonts w:ascii="Times New Roman" w:hAnsi="Times New Roman"/>
          <w:sz w:val="28"/>
          <w:szCs w:val="28"/>
        </w:rPr>
        <w:lastRenderedPageBreak/>
        <w:t xml:space="preserve">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 xml:space="preserve">несовершеннолетние дети являются учредителем коммерческой организации, то </w:t>
      </w:r>
      <w:r w:rsidRPr="006D6F6F">
        <w:rPr>
          <w:rFonts w:ascii="Times New Roman" w:hAnsi="Times New Roman"/>
          <w:sz w:val="28"/>
          <w:szCs w:val="28"/>
        </w:rPr>
        <w:lastRenderedPageBreak/>
        <w:t>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w:t>
      </w:r>
      <w:r w:rsidRPr="006848CC">
        <w:rPr>
          <w:rFonts w:ascii="Times New Roman" w:hAnsi="Times New Roman"/>
          <w:sz w:val="28"/>
          <w:szCs w:val="28"/>
        </w:rPr>
        <w:lastRenderedPageBreak/>
        <w:t>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lastRenderedPageBreak/>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w:t>
      </w:r>
      <w:r w:rsidRPr="006848CC">
        <w:rPr>
          <w:rFonts w:ascii="Times New Roman" w:hAnsi="Times New Roman"/>
          <w:sz w:val="28"/>
          <w:szCs w:val="28"/>
        </w:rPr>
        <w:lastRenderedPageBreak/>
        <w:t>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lastRenderedPageBreak/>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lastRenderedPageBreak/>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lastRenderedPageBreak/>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w:t>
      </w:r>
      <w:r w:rsidRPr="003F6CEA">
        <w:rPr>
          <w:rFonts w:ascii="Times New Roman" w:hAnsi="Times New Roman"/>
          <w:sz w:val="28"/>
          <w:szCs w:val="28"/>
        </w:rPr>
        <w:lastRenderedPageBreak/>
        <w:t xml:space="preserve">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C81150" w:rsidRPr="00C81150">
      <w:rPr>
        <w:rFonts w:ascii="Times New Roman" w:eastAsia="Times New Roman" w:hAnsi="Times New Roman"/>
        <w:noProof/>
        <w:sz w:val="28"/>
      </w:rPr>
      <w:t>14</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33F"/>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1B7"/>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1150"/>
    <w:rsid w:val="00C84829"/>
    <w:rsid w:val="00C854FC"/>
    <w:rsid w:val="00C861BE"/>
    <w:rsid w:val="00C9057D"/>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 w:type="character" w:styleId="aff6">
    <w:name w:val="FollowedHyperlink"/>
    <w:basedOn w:val="a0"/>
    <w:uiPriority w:val="99"/>
    <w:semiHidden/>
    <w:unhideWhenUsed/>
    <w:rsid w:val="00B701B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 w:type="character" w:styleId="aff6">
    <w:name w:val="FollowedHyperlink"/>
    <w:basedOn w:val="a0"/>
    <w:uiPriority w:val="99"/>
    <w:semiHidden/>
    <w:unhideWhenUsed/>
    <w:rsid w:val="00B701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79495C8F-942E-491B-A698-9A78677A6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29728</Words>
  <Characters>169451</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Марина С. Ерохина</cp:lastModifiedBy>
  <cp:revision>2</cp:revision>
  <cp:lastPrinted>2025-01-20T04:11:00Z</cp:lastPrinted>
  <dcterms:created xsi:type="dcterms:W3CDTF">2025-01-20T07:19:00Z</dcterms:created>
  <dcterms:modified xsi:type="dcterms:W3CDTF">2025-01-20T07:19:00Z</dcterms:modified>
</cp:coreProperties>
</file>